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C44D" w14:textId="77777777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Treasurer’s Report  </w:t>
      </w:r>
    </w:p>
    <w:p w14:paraId="702C74D1" w14:textId="055A7A5B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AGM: </w:t>
      </w:r>
      <w:r w:rsidR="00E850BF">
        <w:rPr>
          <w:color w:val="000000"/>
          <w:sz w:val="20"/>
          <w:szCs w:val="20"/>
        </w:rPr>
        <w:t>28</w:t>
      </w:r>
      <w:r w:rsidR="008155D0">
        <w:rPr>
          <w:color w:val="000000"/>
          <w:sz w:val="20"/>
          <w:szCs w:val="20"/>
        </w:rPr>
        <w:t xml:space="preserve"> May 202</w:t>
      </w:r>
      <w:r w:rsidR="00E850BF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 </w:t>
      </w:r>
    </w:p>
    <w:p w14:paraId="748A74A0" w14:textId="62C8FEFB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31" w:lineRule="auto"/>
        <w:ind w:firstLine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20</w:t>
      </w:r>
      <w:r w:rsidR="008155D0">
        <w:rPr>
          <w:color w:val="000000"/>
          <w:sz w:val="20"/>
          <w:szCs w:val="20"/>
        </w:rPr>
        <w:t>2</w:t>
      </w:r>
      <w:r w:rsidR="00E850B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accounts have been prepared and revi</w:t>
      </w:r>
      <w:r w:rsidR="00A12226">
        <w:rPr>
          <w:color w:val="000000"/>
          <w:sz w:val="20"/>
          <w:szCs w:val="20"/>
        </w:rPr>
        <w:t>ewed by Helen Reeves, Chartered</w:t>
      </w:r>
      <w:r>
        <w:rPr>
          <w:color w:val="000000"/>
          <w:sz w:val="20"/>
          <w:szCs w:val="20"/>
        </w:rPr>
        <w:t xml:space="preserve"> Accountant, and are attached to this report with a profit and loss summary over recent years.  </w:t>
      </w:r>
    </w:p>
    <w:p w14:paraId="2D946459" w14:textId="41A0BD89" w:rsidR="00E850B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right="81" w:firstLine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Our balance of funds as at 31 Dec 20</w:t>
      </w:r>
      <w:r w:rsidR="008155D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r w:rsidRPr="004162D0">
        <w:rPr>
          <w:color w:val="000000"/>
          <w:sz w:val="20"/>
          <w:szCs w:val="20"/>
        </w:rPr>
        <w:t>was $</w:t>
      </w:r>
      <w:r w:rsidR="004162D0" w:rsidRPr="004162D0">
        <w:rPr>
          <w:color w:val="000000"/>
          <w:sz w:val="20"/>
          <w:szCs w:val="20"/>
        </w:rPr>
        <w:t>46,203</w:t>
      </w:r>
      <w:r w:rsidRPr="004162D0">
        <w:rPr>
          <w:color w:val="000000"/>
          <w:sz w:val="20"/>
          <w:szCs w:val="20"/>
        </w:rPr>
        <w:t xml:space="preserve"> and</w:t>
      </w:r>
      <w:r>
        <w:rPr>
          <w:color w:val="000000"/>
          <w:sz w:val="20"/>
          <w:szCs w:val="20"/>
        </w:rPr>
        <w:t xml:space="preserve"> the</w:t>
      </w:r>
      <w:r w:rsidR="00A12226">
        <w:rPr>
          <w:color w:val="000000"/>
          <w:sz w:val="20"/>
          <w:szCs w:val="20"/>
        </w:rPr>
        <w:t xml:space="preserve"> Association had a net </w:t>
      </w:r>
      <w:r w:rsidR="00E850BF">
        <w:rPr>
          <w:color w:val="000000"/>
          <w:sz w:val="20"/>
          <w:szCs w:val="20"/>
        </w:rPr>
        <w:t>loss</w:t>
      </w:r>
      <w:r w:rsidR="00A122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for the financial year of </w:t>
      </w:r>
      <w:r w:rsidR="001A3153">
        <w:rPr>
          <w:color w:val="000000"/>
          <w:sz w:val="20"/>
          <w:szCs w:val="20"/>
        </w:rPr>
        <w:t>$</w:t>
      </w:r>
      <w:r w:rsidR="004162D0" w:rsidRPr="004162D0">
        <w:rPr>
          <w:color w:val="000000"/>
          <w:sz w:val="20"/>
          <w:szCs w:val="20"/>
        </w:rPr>
        <w:t>8,518</w:t>
      </w:r>
      <w:r w:rsidR="00A12226">
        <w:rPr>
          <w:color w:val="000000"/>
          <w:sz w:val="20"/>
          <w:szCs w:val="20"/>
        </w:rPr>
        <w:t>, compared</w:t>
      </w:r>
      <w:r>
        <w:rPr>
          <w:color w:val="000000"/>
          <w:sz w:val="20"/>
          <w:szCs w:val="20"/>
        </w:rPr>
        <w:t xml:space="preserve"> to </w:t>
      </w:r>
      <w:r w:rsidR="004162D0">
        <w:rPr>
          <w:color w:val="000000"/>
          <w:sz w:val="20"/>
          <w:szCs w:val="20"/>
        </w:rPr>
        <w:t xml:space="preserve">a closing balance of $54,721 and </w:t>
      </w:r>
      <w:r>
        <w:rPr>
          <w:color w:val="000000"/>
          <w:sz w:val="20"/>
          <w:szCs w:val="20"/>
        </w:rPr>
        <w:t>a net surplus of $</w:t>
      </w:r>
      <w:r w:rsidR="00E850BF">
        <w:rPr>
          <w:color w:val="000000"/>
          <w:sz w:val="20"/>
          <w:szCs w:val="20"/>
        </w:rPr>
        <w:t>10,781</w:t>
      </w:r>
      <w:r>
        <w:rPr>
          <w:color w:val="000000"/>
          <w:sz w:val="20"/>
          <w:szCs w:val="20"/>
        </w:rPr>
        <w:t xml:space="preserve"> for the</w:t>
      </w:r>
      <w:r w:rsidR="00A12226">
        <w:rPr>
          <w:color w:val="000000"/>
          <w:sz w:val="20"/>
          <w:szCs w:val="20"/>
        </w:rPr>
        <w:t xml:space="preserve"> pr</w:t>
      </w:r>
      <w:r w:rsidR="00322AAE">
        <w:rPr>
          <w:color w:val="000000"/>
          <w:sz w:val="20"/>
          <w:szCs w:val="20"/>
        </w:rPr>
        <w:t>evious</w:t>
      </w:r>
      <w:r w:rsidR="00A12226">
        <w:rPr>
          <w:color w:val="000000"/>
          <w:sz w:val="20"/>
          <w:szCs w:val="20"/>
        </w:rPr>
        <w:t xml:space="preserve"> year. </w:t>
      </w:r>
      <w:r>
        <w:rPr>
          <w:color w:val="000000"/>
          <w:sz w:val="20"/>
          <w:szCs w:val="20"/>
        </w:rPr>
        <w:t xml:space="preserve">The </w:t>
      </w:r>
      <w:r w:rsidR="00E850BF">
        <w:rPr>
          <w:color w:val="000000"/>
          <w:sz w:val="20"/>
          <w:szCs w:val="20"/>
        </w:rPr>
        <w:t xml:space="preserve">decrease </w:t>
      </w:r>
      <w:r w:rsidR="004162D0">
        <w:rPr>
          <w:color w:val="000000"/>
          <w:sz w:val="20"/>
          <w:szCs w:val="20"/>
        </w:rPr>
        <w:t xml:space="preserve">in funds </w:t>
      </w:r>
      <w:r w:rsidR="00E850BF">
        <w:rPr>
          <w:color w:val="000000"/>
          <w:sz w:val="20"/>
          <w:szCs w:val="20"/>
        </w:rPr>
        <w:t xml:space="preserve">is mainly attributable to: </w:t>
      </w:r>
    </w:p>
    <w:p w14:paraId="56EFD215" w14:textId="6C67DE50" w:rsidR="00E850BF" w:rsidRDefault="004162D0" w:rsidP="00E850B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right="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Junior Nationals running at a loss to the Association (which it usually does) but without a Senior Nationals being run in the same year (which usually returns a profit to the Association</w:t>
      </w:r>
      <w:r w:rsidR="00322AAE">
        <w:rPr>
          <w:color w:val="000000"/>
          <w:sz w:val="20"/>
          <w:szCs w:val="20"/>
        </w:rPr>
        <w:t xml:space="preserve"> and offsets the Junior loss to some extent</w:t>
      </w:r>
      <w:r>
        <w:rPr>
          <w:color w:val="000000"/>
          <w:sz w:val="20"/>
          <w:szCs w:val="20"/>
        </w:rPr>
        <w:t>)</w:t>
      </w:r>
    </w:p>
    <w:p w14:paraId="76335F95" w14:textId="6C0D8413" w:rsidR="00E850BF" w:rsidRPr="00E850BF" w:rsidRDefault="00E850BF" w:rsidP="00E850B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right="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agreement last AGM to waive Association affiliation levies for </w:t>
      </w:r>
      <w:r w:rsidR="00322AAE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year</w:t>
      </w:r>
    </w:p>
    <w:p w14:paraId="3F079D86" w14:textId="77777777" w:rsidR="00A12226" w:rsidRDefault="00A12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3" w:right="406" w:hanging="8"/>
        <w:rPr>
          <w:color w:val="000000"/>
          <w:sz w:val="20"/>
          <w:szCs w:val="20"/>
        </w:rPr>
      </w:pPr>
    </w:p>
    <w:p w14:paraId="448CA348" w14:textId="172EB764" w:rsidR="00B42335" w:rsidRDefault="006D3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3" w:right="406" w:hanging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per our Statement of Financial Position, w</w:t>
      </w:r>
      <w:r w:rsidR="00B42335">
        <w:rPr>
          <w:color w:val="000000"/>
          <w:sz w:val="20"/>
          <w:szCs w:val="20"/>
        </w:rPr>
        <w:t xml:space="preserve">e </w:t>
      </w:r>
      <w:r w:rsidR="00E850BF">
        <w:rPr>
          <w:color w:val="000000"/>
          <w:sz w:val="20"/>
          <w:szCs w:val="20"/>
        </w:rPr>
        <w:t xml:space="preserve">still </w:t>
      </w:r>
      <w:r w:rsidR="00B42335">
        <w:rPr>
          <w:color w:val="000000"/>
          <w:sz w:val="20"/>
          <w:szCs w:val="20"/>
        </w:rPr>
        <w:t xml:space="preserve">have </w:t>
      </w:r>
      <w:r>
        <w:rPr>
          <w:color w:val="000000"/>
          <w:sz w:val="20"/>
          <w:szCs w:val="20"/>
        </w:rPr>
        <w:t>approx</w:t>
      </w:r>
      <w:r w:rsidR="001E1E81">
        <w:rPr>
          <w:color w:val="000000"/>
          <w:sz w:val="20"/>
          <w:szCs w:val="20"/>
        </w:rPr>
        <w:t>imately</w:t>
      </w:r>
      <w:r>
        <w:rPr>
          <w:color w:val="000000"/>
          <w:sz w:val="20"/>
          <w:szCs w:val="20"/>
        </w:rPr>
        <w:t xml:space="preserve"> $2,</w:t>
      </w:r>
      <w:r w:rsidR="00E850B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00 of airfares</w:t>
      </w:r>
      <w:r w:rsidR="00B42335">
        <w:rPr>
          <w:color w:val="000000"/>
          <w:sz w:val="20"/>
          <w:szCs w:val="20"/>
        </w:rPr>
        <w:t xml:space="preserve"> held in credit for future use</w:t>
      </w:r>
      <w:r w:rsidR="001E1E81">
        <w:rPr>
          <w:color w:val="000000"/>
          <w:sz w:val="20"/>
          <w:szCs w:val="20"/>
        </w:rPr>
        <w:t xml:space="preserve">, being held for future travel by officials e.g. to </w:t>
      </w:r>
      <w:r w:rsidR="00322AAE">
        <w:rPr>
          <w:color w:val="000000"/>
          <w:sz w:val="20"/>
          <w:szCs w:val="20"/>
        </w:rPr>
        <w:t xml:space="preserve">future </w:t>
      </w:r>
      <w:r w:rsidR="001E1E81">
        <w:rPr>
          <w:color w:val="000000"/>
          <w:sz w:val="20"/>
          <w:szCs w:val="20"/>
        </w:rPr>
        <w:t>Nationals</w:t>
      </w:r>
      <w:r w:rsidR="00B42335">
        <w:rPr>
          <w:color w:val="000000"/>
          <w:sz w:val="20"/>
          <w:szCs w:val="20"/>
        </w:rPr>
        <w:t>.</w:t>
      </w:r>
      <w:r w:rsidR="00A12226">
        <w:rPr>
          <w:color w:val="000000"/>
          <w:sz w:val="20"/>
          <w:szCs w:val="20"/>
        </w:rPr>
        <w:t xml:space="preserve"> There were no new assets purchased during the reporting period, and all existing assets have no book value so there was no depreciation.</w:t>
      </w:r>
    </w:p>
    <w:p w14:paraId="6260D406" w14:textId="763E2ED9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7" w:right="197" w:firstLine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Given our current bank balance</w:t>
      </w:r>
      <w:r w:rsidR="00D62ED9">
        <w:rPr>
          <w:color w:val="000000"/>
          <w:sz w:val="20"/>
          <w:szCs w:val="20"/>
        </w:rPr>
        <w:t xml:space="preserve"> and situation</w:t>
      </w:r>
      <w:r>
        <w:rPr>
          <w:color w:val="000000"/>
          <w:sz w:val="20"/>
          <w:szCs w:val="20"/>
        </w:rPr>
        <w:t>, there is no intention to sugg</w:t>
      </w:r>
      <w:r w:rsidR="00A12226">
        <w:rPr>
          <w:color w:val="000000"/>
          <w:sz w:val="20"/>
          <w:szCs w:val="20"/>
        </w:rPr>
        <w:t xml:space="preserve">est an increase in Association </w:t>
      </w:r>
      <w:r>
        <w:rPr>
          <w:color w:val="000000"/>
          <w:sz w:val="20"/>
          <w:szCs w:val="20"/>
        </w:rPr>
        <w:t>affiliation fee, membership levies</w:t>
      </w:r>
      <w:r w:rsidR="00A12226">
        <w:rPr>
          <w:color w:val="000000"/>
          <w:sz w:val="20"/>
          <w:szCs w:val="20"/>
        </w:rPr>
        <w:t>, or other fees, at this time.</w:t>
      </w:r>
    </w:p>
    <w:p w14:paraId="4F53A6D0" w14:textId="25573044" w:rsidR="00D62ED9" w:rsidRDefault="0080302D" w:rsidP="00D62E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3" w:right="326" w:firstLine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I’d like to record my thanks to the club treasurers and secretaries who continue to ensure that levies and other invoices are paid, and to Helen Reeves for her on-going provision of sound accounting advice</w:t>
      </w:r>
      <w:r w:rsidR="00B42335">
        <w:rPr>
          <w:color w:val="000000"/>
          <w:sz w:val="20"/>
          <w:szCs w:val="20"/>
        </w:rPr>
        <w:t>, and her patience</w:t>
      </w:r>
      <w:r w:rsidR="004162D0">
        <w:rPr>
          <w:color w:val="000000"/>
          <w:sz w:val="20"/>
          <w:szCs w:val="20"/>
        </w:rPr>
        <w:t xml:space="preserve"> particularly </w:t>
      </w:r>
      <w:r w:rsidR="00322AAE">
        <w:rPr>
          <w:color w:val="000000"/>
          <w:sz w:val="20"/>
          <w:szCs w:val="20"/>
        </w:rPr>
        <w:t>once *</w:t>
      </w:r>
      <w:r w:rsidR="004162D0">
        <w:rPr>
          <w:color w:val="000000"/>
          <w:sz w:val="20"/>
          <w:szCs w:val="20"/>
        </w:rPr>
        <w:t>again</w:t>
      </w:r>
      <w:r w:rsidR="00322AAE">
        <w:rPr>
          <w:color w:val="000000"/>
          <w:sz w:val="20"/>
          <w:szCs w:val="20"/>
        </w:rPr>
        <w:t>*</w:t>
      </w:r>
      <w:r w:rsidR="00B42335">
        <w:rPr>
          <w:color w:val="000000"/>
          <w:sz w:val="20"/>
          <w:szCs w:val="20"/>
        </w:rPr>
        <w:t xml:space="preserve"> in working through flight </w:t>
      </w:r>
      <w:r w:rsidR="00322AAE">
        <w:rPr>
          <w:color w:val="000000"/>
          <w:sz w:val="20"/>
          <w:szCs w:val="20"/>
        </w:rPr>
        <w:t>credits</w:t>
      </w:r>
      <w:r>
        <w:rPr>
          <w:color w:val="000000"/>
          <w:sz w:val="20"/>
          <w:szCs w:val="20"/>
        </w:rPr>
        <w:t xml:space="preserve">.  </w:t>
      </w:r>
    </w:p>
    <w:p w14:paraId="1240A549" w14:textId="77777777" w:rsidR="00322AAE" w:rsidRDefault="00322AAE" w:rsidP="00A12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3" w:right="326" w:firstLine="15"/>
        <w:jc w:val="both"/>
        <w:rPr>
          <w:color w:val="000000"/>
          <w:sz w:val="20"/>
          <w:szCs w:val="20"/>
        </w:rPr>
      </w:pPr>
    </w:p>
    <w:p w14:paraId="65C2BB58" w14:textId="77777777" w:rsidR="00322AAE" w:rsidRDefault="00322AAE" w:rsidP="00A12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3" w:right="326" w:firstLine="15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653B4A41" w14:textId="2382A362" w:rsidR="00EA124F" w:rsidRDefault="0080302D" w:rsidP="00A12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29" w:lineRule="auto"/>
        <w:ind w:left="3" w:right="326" w:firstLine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Yolanda van Dorrestein  </w:t>
      </w:r>
    </w:p>
    <w:p w14:paraId="2E9C97BA" w14:textId="77777777" w:rsidR="00B42335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NZARRA Treasurer </w:t>
      </w:r>
    </w:p>
    <w:p w14:paraId="48757491" w14:textId="77777777" w:rsidR="00B42335" w:rsidRDefault="00B423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5D05A8C7" w14:textId="77777777" w:rsidR="00EA124F" w:rsidRDefault="00EA12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</w:rPr>
      </w:pPr>
    </w:p>
    <w:p w14:paraId="3D28CCC9" w14:textId="3F620A83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Summary of Income and Expenditure</w:t>
      </w:r>
      <w:r w:rsidR="006D3DF5">
        <w:rPr>
          <w:color w:val="000000"/>
          <w:sz w:val="20"/>
          <w:szCs w:val="20"/>
        </w:rPr>
        <w:t>:</w:t>
      </w:r>
    </w:p>
    <w:p w14:paraId="2F3A0A8C" w14:textId="60B37739" w:rsidR="00D661A7" w:rsidRDefault="00D66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0"/>
          <w:szCs w:val="20"/>
        </w:rPr>
      </w:pPr>
    </w:p>
    <w:p w14:paraId="5FF1A1CB" w14:textId="1C92FACA" w:rsidR="00D661A7" w:rsidRDefault="00322AAE" w:rsidP="00322A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  <w:r w:rsidRPr="00322AAE">
        <w:rPr>
          <w:color w:val="000000"/>
          <w:sz w:val="20"/>
          <w:szCs w:val="20"/>
        </w:rPr>
        <w:drawing>
          <wp:inline distT="0" distB="0" distL="0" distR="0" wp14:anchorId="4DABD3B3" wp14:editId="4C09CF99">
            <wp:extent cx="4229100" cy="3220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8687" cy="32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9684" w14:textId="6DE01F6A" w:rsidR="00D661A7" w:rsidRDefault="00D661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0"/>
          <w:szCs w:val="20"/>
        </w:rPr>
      </w:pPr>
    </w:p>
    <w:p w14:paraId="630AD365" w14:textId="4FA3004F" w:rsidR="0080302D" w:rsidRPr="0080302D" w:rsidRDefault="00322AAE" w:rsidP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9" w:lineRule="auto"/>
        <w:ind w:right="81" w:firstLine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</w:t>
      </w:r>
      <w:r w:rsidR="0080302D" w:rsidRPr="0080302D">
        <w:rPr>
          <w:color w:val="000000"/>
          <w:sz w:val="18"/>
          <w:szCs w:val="18"/>
        </w:rPr>
        <w:t>te that “</w:t>
      </w:r>
      <w:proofErr w:type="gramStart"/>
      <w:r w:rsidR="0080302D" w:rsidRPr="0080302D">
        <w:rPr>
          <w:color w:val="000000"/>
          <w:sz w:val="18"/>
          <w:szCs w:val="18"/>
        </w:rPr>
        <w:t>judges</w:t>
      </w:r>
      <w:proofErr w:type="gramEnd"/>
      <w:r w:rsidR="0080302D" w:rsidRPr="0080302D">
        <w:rPr>
          <w:color w:val="000000"/>
          <w:sz w:val="18"/>
          <w:szCs w:val="18"/>
        </w:rPr>
        <w:t xml:space="preserve"> workshops” income is derived from the membership </w:t>
      </w:r>
      <w:r w:rsidR="0080302D">
        <w:rPr>
          <w:color w:val="000000"/>
          <w:sz w:val="18"/>
          <w:szCs w:val="18"/>
        </w:rPr>
        <w:t>fees</w:t>
      </w:r>
      <w:r w:rsidR="0080302D" w:rsidRPr="0080302D">
        <w:rPr>
          <w:color w:val="000000"/>
          <w:sz w:val="18"/>
          <w:szCs w:val="18"/>
        </w:rPr>
        <w:t xml:space="preserve"> paid by clubs</w:t>
      </w:r>
      <w:r w:rsidR="00D62ED9">
        <w:rPr>
          <w:color w:val="000000"/>
          <w:sz w:val="18"/>
          <w:szCs w:val="18"/>
        </w:rPr>
        <w:t>,</w:t>
      </w:r>
      <w:r w:rsidR="0080302D" w:rsidRPr="0080302D">
        <w:rPr>
          <w:color w:val="000000"/>
          <w:sz w:val="18"/>
          <w:szCs w:val="18"/>
        </w:rPr>
        <w:t xml:space="preserve"> which include</w:t>
      </w:r>
      <w:r w:rsidR="00D62ED9">
        <w:rPr>
          <w:color w:val="000000"/>
          <w:sz w:val="18"/>
          <w:szCs w:val="18"/>
        </w:rPr>
        <w:t>s</w:t>
      </w:r>
      <w:r w:rsidR="0080302D" w:rsidRPr="0080302D">
        <w:rPr>
          <w:color w:val="000000"/>
          <w:sz w:val="18"/>
          <w:szCs w:val="18"/>
        </w:rPr>
        <w:t xml:space="preserve"> an amount to go towards funding the biennial combined judges workshop, and “AGM” income is derived from the delegate registration included in the annual affiliation </w:t>
      </w:r>
      <w:r w:rsidR="0080302D">
        <w:rPr>
          <w:color w:val="000000"/>
          <w:sz w:val="18"/>
          <w:szCs w:val="18"/>
        </w:rPr>
        <w:t>levies</w:t>
      </w:r>
      <w:r w:rsidR="0080302D" w:rsidRPr="0080302D">
        <w:rPr>
          <w:color w:val="000000"/>
          <w:sz w:val="18"/>
          <w:szCs w:val="18"/>
        </w:rPr>
        <w:t xml:space="preserve"> paid.</w:t>
      </w:r>
    </w:p>
    <w:p w14:paraId="2FA32B99" w14:textId="77777777" w:rsidR="00B42335" w:rsidRDefault="00B42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4"/>
        <w:rPr>
          <w:color w:val="000000"/>
          <w:sz w:val="20"/>
          <w:szCs w:val="20"/>
        </w:rPr>
      </w:pPr>
    </w:p>
    <w:p w14:paraId="21CC62FA" w14:textId="77777777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be moved:  </w:t>
      </w:r>
    </w:p>
    <w:p w14:paraId="38FDD4DB" w14:textId="2C37F86D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6" w:lineRule="auto"/>
        <w:ind w:left="682" w:right="348" w:hanging="3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That Association membership fees and affiliation levie</w:t>
      </w:r>
      <w:r w:rsidR="00A12226">
        <w:rPr>
          <w:color w:val="000000"/>
          <w:sz w:val="20"/>
          <w:szCs w:val="20"/>
        </w:rPr>
        <w:t xml:space="preserve">s remain unchanged for the </w:t>
      </w:r>
      <w:r w:rsidR="00B42335">
        <w:rPr>
          <w:color w:val="000000"/>
          <w:sz w:val="20"/>
          <w:szCs w:val="20"/>
        </w:rPr>
        <w:t>202</w:t>
      </w:r>
      <w:r w:rsidR="004C18A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year  </w:t>
      </w:r>
    </w:p>
    <w:p w14:paraId="7CDBACB2" w14:textId="2E8A237F" w:rsidR="00B42335" w:rsidRDefault="00B42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6" w:lineRule="auto"/>
        <w:ind w:left="682" w:right="348" w:hanging="3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That Association affiliation levies and first AGM delegate registration ($300 payable 1</w:t>
      </w:r>
      <w:r w:rsidRPr="00B42335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August) be waived for the 202</w:t>
      </w:r>
      <w:r w:rsidR="001E561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year</w:t>
      </w:r>
    </w:p>
    <w:p w14:paraId="127D3263" w14:textId="4F9FB85C" w:rsidR="00EA124F" w:rsidRDefault="008030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3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That the financial report for 202</w:t>
      </w:r>
      <w:r w:rsidR="001E561C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be accepted </w:t>
      </w:r>
    </w:p>
    <w:sectPr w:rsidR="00EA124F">
      <w:pgSz w:w="12240" w:h="15840"/>
      <w:pgMar w:top="1334" w:right="1822" w:bottom="1795" w:left="187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644"/>
    <w:multiLevelType w:val="hybridMultilevel"/>
    <w:tmpl w:val="A638550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4F"/>
    <w:rsid w:val="001A3153"/>
    <w:rsid w:val="001E1E81"/>
    <w:rsid w:val="001E561C"/>
    <w:rsid w:val="002B50E7"/>
    <w:rsid w:val="00322AAE"/>
    <w:rsid w:val="004162D0"/>
    <w:rsid w:val="004C18A6"/>
    <w:rsid w:val="00523965"/>
    <w:rsid w:val="006631AD"/>
    <w:rsid w:val="006D3DF5"/>
    <w:rsid w:val="006F7579"/>
    <w:rsid w:val="0080302D"/>
    <w:rsid w:val="008155D0"/>
    <w:rsid w:val="00A12226"/>
    <w:rsid w:val="00B42335"/>
    <w:rsid w:val="00D62ED9"/>
    <w:rsid w:val="00D661A7"/>
    <w:rsid w:val="00E850BF"/>
    <w:rsid w:val="00E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50E8"/>
  <w15:docId w15:val="{F303150E-E738-4351-9931-E6F55718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20056607C4EB7841A44F355AA72" ma:contentTypeVersion="14" ma:contentTypeDescription="Create a new document." ma:contentTypeScope="" ma:versionID="46003e1cbe24876c7ebe1ea9b61ad35c">
  <xsd:schema xmlns:xsd="http://www.w3.org/2001/XMLSchema" xmlns:xs="http://www.w3.org/2001/XMLSchema" xmlns:p="http://schemas.microsoft.com/office/2006/metadata/properties" xmlns:ns3="e9ace585-5bc5-4cf9-a32d-2e1099e2e460" xmlns:ns4="168a2002-e8e6-46e4-90f7-7cc7e2145265" targetNamespace="http://schemas.microsoft.com/office/2006/metadata/properties" ma:root="true" ma:fieldsID="c135702e124de0729f8f05196ed9f6be" ns3:_="" ns4:_="">
    <xsd:import namespace="e9ace585-5bc5-4cf9-a32d-2e1099e2e460"/>
    <xsd:import namespace="168a2002-e8e6-46e4-90f7-7cc7e2145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e585-5bc5-4cf9-a32d-2e1099e2e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2002-e8e6-46e4-90f7-7cc7e2145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D2FA6-46D1-4E62-B96D-CA5A5B6E3E1C}">
  <ds:schemaRefs>
    <ds:schemaRef ds:uri="http://purl.org/dc/elements/1.1/"/>
    <ds:schemaRef ds:uri="http://schemas.microsoft.com/office/2006/metadata/properties"/>
    <ds:schemaRef ds:uri="168a2002-e8e6-46e4-90f7-7cc7e21452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ace585-5bc5-4cf9-a32d-2e1099e2e4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967E2-2870-4ED3-AC4A-66EA55582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E423-6EE7-4EF5-A416-54AF4B79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e585-5bc5-4cf9-a32d-2e1099e2e460"/>
    <ds:schemaRef ds:uri="168a2002-e8e6-46e4-90f7-7cc7e2145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Dorrestein, Yolanda</dc:creator>
  <cp:lastModifiedBy>van Dorrestein, Yolanda</cp:lastModifiedBy>
  <cp:revision>4</cp:revision>
  <dcterms:created xsi:type="dcterms:W3CDTF">2022-05-10T00:30:00Z</dcterms:created>
  <dcterms:modified xsi:type="dcterms:W3CDTF">2022-05-10T11:06:00Z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0x01010081C5920056607C4EB7841A44F355AA72</vt:lpwstr>
  </property>
</Properties>
</file>